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D319" w14:textId="357CEB8E" w:rsidR="00102FCB" w:rsidRPr="00F86CA0" w:rsidRDefault="00102FCB" w:rsidP="00F86CA0">
      <w:pPr>
        <w:spacing w:beforeLines="1" w:before="2" w:after="0" w:line="288" w:lineRule="auto"/>
        <w:ind w:left="720"/>
        <w:jc w:val="right"/>
        <w:rPr>
          <w:rFonts w:ascii="Times" w:hAnsi="Times" w:cs="Times New Roman"/>
          <w:color w:val="FF480B" w:themeColor="accent6"/>
          <w:sz w:val="20"/>
          <w:szCs w:val="20"/>
        </w:rPr>
      </w:pPr>
    </w:p>
    <w:p w14:paraId="7FD24D60" w14:textId="5700271B" w:rsidR="00102FCB" w:rsidRPr="00F07726" w:rsidRDefault="00D15DF5" w:rsidP="00F86CA0">
      <w:pPr>
        <w:spacing w:beforeLines="1" w:before="2" w:after="0" w:line="499" w:lineRule="atLeast"/>
        <w:ind w:left="567"/>
        <w:rPr>
          <w:rFonts w:ascii="Times" w:hAnsi="Times" w:cs="Times New Roman"/>
          <w:sz w:val="20"/>
          <w:szCs w:val="20"/>
        </w:rPr>
      </w:pPr>
      <w:r>
        <w:rPr>
          <w:rFonts w:ascii="Source Sans Pro" w:hAnsi="Source Sans Pro" w:cs="Times New Roman"/>
          <w:b/>
          <w:iCs/>
          <w:color w:val="FFFFFF"/>
          <w:sz w:val="36"/>
          <w:szCs w:val="36"/>
          <w:shd w:val="clear" w:color="auto" w:fill="009900"/>
        </w:rPr>
        <w:t>BIOSTIMULANTS</w:t>
      </w:r>
      <w:r w:rsidR="00102FCB" w:rsidRPr="005A6B35">
        <w:rPr>
          <w:rFonts w:ascii="Source Sans Pro" w:hAnsi="Source Sans Pro" w:cs="Times New Roman"/>
          <w:b/>
          <w:i/>
          <w:color w:val="FFFFFF"/>
          <w:sz w:val="36"/>
          <w:szCs w:val="36"/>
          <w:shd w:val="clear" w:color="auto" w:fill="009900"/>
        </w:rPr>
        <w:t xml:space="preserve">   </w:t>
      </w:r>
      <w:r w:rsidR="00102FCB" w:rsidRPr="00F07726">
        <w:rPr>
          <w:rFonts w:ascii="Source Sans Pro" w:hAnsi="Source Sans Pro" w:cs="Times New Roman"/>
          <w:b/>
          <w:i/>
          <w:color w:val="FFFFFF"/>
          <w:sz w:val="36"/>
          <w:szCs w:val="36"/>
          <w:shd w:val="clear" w:color="auto" w:fill="009900"/>
        </w:rPr>
        <w:br/>
      </w:r>
      <w:r w:rsidR="00663F13">
        <w:rPr>
          <w:rFonts w:ascii="Source Sans Pro" w:hAnsi="Source Sans Pro" w:cs="Times New Roman"/>
          <w:i/>
          <w:color w:val="FFFFFF"/>
          <w:sz w:val="36"/>
          <w:szCs w:val="36"/>
          <w:shd w:val="clear" w:color="auto" w:fill="009900"/>
        </w:rPr>
        <w:t>Quels bénéfices agroécologique ?</w:t>
      </w:r>
      <w:r w:rsidR="00211B41">
        <w:rPr>
          <w:rFonts w:ascii="Source Sans Pro" w:hAnsi="Source Sans Pro" w:cs="Times New Roman"/>
          <w:i/>
          <w:color w:val="FFFFFF"/>
          <w:sz w:val="36"/>
          <w:szCs w:val="36"/>
          <w:shd w:val="clear" w:color="auto" w:fill="009900"/>
        </w:rPr>
        <w:t xml:space="preserve"> </w:t>
      </w:r>
      <w:r w:rsidR="00102FCB" w:rsidRPr="00F07726">
        <w:rPr>
          <w:rFonts w:ascii="Source Sans Pro" w:hAnsi="Source Sans Pro" w:cs="Times New Roman"/>
          <w:i/>
          <w:color w:val="FFFFFF"/>
          <w:sz w:val="36"/>
          <w:szCs w:val="36"/>
          <w:shd w:val="clear" w:color="auto" w:fill="009900"/>
        </w:rPr>
        <w:t xml:space="preserve">  </w:t>
      </w:r>
    </w:p>
    <w:p w14:paraId="41EF5B07" w14:textId="429719BC" w:rsidR="00102FCB" w:rsidRDefault="00102FCB" w:rsidP="00FF62F4">
      <w:pPr>
        <w:spacing w:beforeLines="1" w:before="2" w:after="0" w:line="288" w:lineRule="auto"/>
        <w:ind w:left="567"/>
        <w:rPr>
          <w:rFonts w:ascii="Times" w:hAnsi="Times" w:cs="Times New Roman"/>
          <w:sz w:val="20"/>
          <w:szCs w:val="20"/>
        </w:rPr>
      </w:pPr>
    </w:p>
    <w:p w14:paraId="34F7C1B6" w14:textId="312A2303" w:rsidR="00220BEA" w:rsidRPr="00F07726" w:rsidRDefault="00220BEA" w:rsidP="00FF62F4">
      <w:pPr>
        <w:spacing w:beforeLines="1" w:before="2" w:after="0" w:line="288" w:lineRule="auto"/>
        <w:ind w:left="567"/>
        <w:rPr>
          <w:rFonts w:ascii="Times" w:hAnsi="Times" w:cs="Times New Roman"/>
          <w:sz w:val="20"/>
          <w:szCs w:val="20"/>
        </w:rPr>
      </w:pPr>
    </w:p>
    <w:p w14:paraId="7BB1CED9" w14:textId="65512FE7" w:rsidR="00D15DF5" w:rsidRPr="002F3B47" w:rsidRDefault="00102FCB" w:rsidP="002F3B47">
      <w:pPr>
        <w:ind w:left="644"/>
        <w:rPr>
          <w:rFonts w:ascii="Source Sans Pro" w:hAnsi="Source Sans Pro" w:cs="Times New Roman"/>
          <w:color w:val="666666"/>
          <w:sz w:val="26"/>
          <w:szCs w:val="26"/>
        </w:rPr>
      </w:pPr>
      <w:r w:rsidRPr="002F3B47">
        <w:rPr>
          <w:rFonts w:ascii="Source Sans Pro" w:hAnsi="Source Sans Pro" w:cs="Times New Roman"/>
          <w:color w:val="FF480B" w:themeColor="accent6"/>
        </w:rPr>
        <w:t>PRÉSENTATION |</w:t>
      </w:r>
      <w:r w:rsidRPr="002F3B47">
        <w:rPr>
          <w:rFonts w:ascii="Source Sans Pro" w:hAnsi="Source Sans Pro" w:cs="Times New Roman"/>
          <w:color w:val="9DBF64"/>
        </w:rPr>
        <w:t xml:space="preserve"> </w:t>
      </w:r>
      <w:r w:rsidR="00D15DF5" w:rsidRPr="002F3B47">
        <w:rPr>
          <w:rFonts w:ascii="Source Sans Pro" w:hAnsi="Source Sans Pro" w:cs="Times New Roman"/>
          <w:color w:val="666666"/>
          <w:sz w:val="26"/>
          <w:szCs w:val="26"/>
        </w:rPr>
        <w:t>Cette formation a pour objet d’établir un état des lieux et les perspectives des produits de stimulation en agriculture visant à améliorer les fonctionnalités biologiques des sols et des plantes. Leur appropriation/utilisation par les agriculteurs(trices) reste à construire et doit être accompagnée pour optimiser la plus-value que ces produits apportent aux systèmes de productions.</w:t>
      </w:r>
    </w:p>
    <w:p w14:paraId="6AC7472B" w14:textId="146587C5" w:rsidR="00220BEA" w:rsidRPr="00D15DF5" w:rsidRDefault="00D80CE5" w:rsidP="00AE6A7D">
      <w:pPr>
        <w:pStyle w:val="Paragraphedeliste"/>
        <w:spacing w:before="2"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  <w:r>
        <w:rPr>
          <w:rFonts w:ascii="Source Sans Pro" w:hAnsi="Source Sans Pro" w:cs="Times New Roman"/>
          <w:noProof/>
          <w:color w:val="99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2B898DB2">
                <wp:simplePos x="0" y="0"/>
                <wp:positionH relativeFrom="column">
                  <wp:posOffset>6222365</wp:posOffset>
                </wp:positionH>
                <wp:positionV relativeFrom="paragraph">
                  <wp:posOffset>155575</wp:posOffset>
                </wp:positionV>
                <wp:extent cx="457200" cy="3634740"/>
                <wp:effectExtent l="0" t="0" r="0" b="0"/>
                <wp:wrapTight wrapText="bothSides">
                  <wp:wrapPolygon edited="0">
                    <wp:start x="1800" y="340"/>
                    <wp:lineTo x="1800" y="21170"/>
                    <wp:lineTo x="18900" y="21170"/>
                    <wp:lineTo x="18900" y="340"/>
                    <wp:lineTo x="1800" y="34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3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56452439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F95644">
                              <w:rPr>
                                <w:rFonts w:ascii="Source Sans Pro" w:hAnsi="Source Sans Pro"/>
                                <w:b/>
                                <w:color w:val="008000"/>
                                <w:sz w:val="20"/>
                              </w:rPr>
                              <w:t>BIOSTIMULANTS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9.95pt;margin-top:12.25pt;width:36pt;height:28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" filled="f" stroked="f">
                <v:textbox style="layout-flow:vertical;mso-layout-flow-alt:bottom-to-top" inset=",7.2pt,,7.2pt">
                  <w:txbxContent>
                    <w:p w14:paraId="5D69A947" w14:textId="56452439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F95644">
                        <w:rPr>
                          <w:rFonts w:ascii="Source Sans Pro" w:hAnsi="Source Sans Pro"/>
                          <w:b/>
                          <w:color w:val="008000"/>
                          <w:sz w:val="20"/>
                        </w:rPr>
                        <w:t>BIOSTIMULANTS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471C00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243809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2D1D477E" w14:textId="77777777" w:rsidR="00D15DF5" w:rsidRPr="00D15DF5" w:rsidRDefault="00D15DF5" w:rsidP="00D15DF5">
            <w:pPr>
              <w:numPr>
                <w:ilvl w:val="0"/>
                <w:numId w:val="7"/>
              </w:numPr>
              <w:ind w:right="141"/>
              <w:jc w:val="both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D15DF5">
              <w:rPr>
                <w:rFonts w:cs="Times New Roman"/>
                <w:color w:val="808080" w:themeColor="background1" w:themeShade="80"/>
                <w:sz w:val="22"/>
                <w:szCs w:val="22"/>
              </w:rPr>
              <w:t>Connaître leurs définitions en lien avec la réglementation,</w:t>
            </w:r>
          </w:p>
          <w:p w14:paraId="574C8111" w14:textId="77777777" w:rsidR="00D15DF5" w:rsidRPr="00D15DF5" w:rsidRDefault="00D15DF5" w:rsidP="00D15DF5">
            <w:pPr>
              <w:numPr>
                <w:ilvl w:val="0"/>
                <w:numId w:val="7"/>
              </w:numPr>
              <w:ind w:right="141"/>
              <w:jc w:val="both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D15DF5">
              <w:rPr>
                <w:rFonts w:cs="Times New Roman"/>
                <w:color w:val="808080" w:themeColor="background1" w:themeShade="80"/>
                <w:sz w:val="22"/>
                <w:szCs w:val="22"/>
              </w:rPr>
              <w:t>Comprendre les différents mécanismes d’action des produits de biostimulation,</w:t>
            </w:r>
          </w:p>
          <w:p w14:paraId="2D005047" w14:textId="77777777" w:rsidR="00D15DF5" w:rsidRPr="00D15DF5" w:rsidRDefault="00D15DF5" w:rsidP="00D15DF5">
            <w:pPr>
              <w:numPr>
                <w:ilvl w:val="0"/>
                <w:numId w:val="7"/>
              </w:numPr>
              <w:ind w:right="141"/>
              <w:jc w:val="both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D15DF5">
              <w:rPr>
                <w:rFonts w:cs="Times New Roman"/>
                <w:color w:val="808080" w:themeColor="background1" w:themeShade="80"/>
                <w:sz w:val="22"/>
                <w:szCs w:val="22"/>
              </w:rPr>
              <w:t>Savoir analyser les freins et les leviers pour une mise en œuvre efficace des outils,</w:t>
            </w:r>
          </w:p>
          <w:p w14:paraId="4033A8C2" w14:textId="03BB7D08" w:rsidR="00D65395" w:rsidRPr="00D15DF5" w:rsidRDefault="00D15DF5" w:rsidP="00D15DF5">
            <w:pPr>
              <w:numPr>
                <w:ilvl w:val="0"/>
                <w:numId w:val="7"/>
              </w:numPr>
              <w:ind w:right="141"/>
              <w:jc w:val="both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D15DF5">
              <w:rPr>
                <w:rFonts w:cs="Times New Roman"/>
                <w:color w:val="808080" w:themeColor="background1" w:themeShade="80"/>
                <w:sz w:val="22"/>
                <w:szCs w:val="22"/>
              </w:rPr>
              <w:t>S’inscrire dans une démarche globale.</w:t>
            </w:r>
          </w:p>
        </w:tc>
      </w:tr>
      <w:tr w:rsidR="00461258" w14:paraId="69B8E53F" w14:textId="77777777" w:rsidTr="00471C00">
        <w:trPr>
          <w:trHeight w:val="680"/>
        </w:trPr>
        <w:tc>
          <w:tcPr>
            <w:tcW w:w="1709" w:type="dxa"/>
            <w:shd w:val="clear" w:color="auto" w:fill="E0E0E0"/>
          </w:tcPr>
          <w:p w14:paraId="01A67548" w14:textId="1E2B6C88" w:rsidR="00461258" w:rsidRPr="00243809" w:rsidRDefault="00461258" w:rsidP="00FF62F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69EDFABC" w14:textId="60A5B6D0" w:rsidR="00E12C7D" w:rsidRPr="004275C1" w:rsidRDefault="00551833" w:rsidP="005455B4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Aucun</w:t>
            </w:r>
          </w:p>
        </w:tc>
      </w:tr>
      <w:tr w:rsidR="00471C00" w14:paraId="1DBB866A" w14:textId="77777777" w:rsidTr="00471C00">
        <w:trPr>
          <w:trHeight w:val="680"/>
        </w:trPr>
        <w:tc>
          <w:tcPr>
            <w:tcW w:w="1709" w:type="dxa"/>
            <w:shd w:val="clear" w:color="auto" w:fill="E0E0E0"/>
          </w:tcPr>
          <w:p w14:paraId="49032022" w14:textId="58CC83A8" w:rsidR="00471C00" w:rsidRDefault="00471C00" w:rsidP="00471C00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PUBLIC</w:t>
            </w:r>
          </w:p>
        </w:tc>
        <w:tc>
          <w:tcPr>
            <w:tcW w:w="7222" w:type="dxa"/>
            <w:shd w:val="clear" w:color="auto" w:fill="auto"/>
          </w:tcPr>
          <w:p w14:paraId="17F499C3" w14:textId="50634472" w:rsidR="00E12C7D" w:rsidRPr="004275C1" w:rsidRDefault="009E3F37" w:rsidP="005455B4">
            <w:pPr>
              <w:rPr>
                <w:color w:val="808080" w:themeColor="background1" w:themeShade="80"/>
                <w:sz w:val="22"/>
                <w:szCs w:val="22"/>
              </w:rPr>
            </w:pPr>
            <w:r w:rsidRPr="009E3F37">
              <w:rPr>
                <w:rFonts w:ascii="Source Sans Pro" w:hAnsi="Source Sans Pro" w:cs="Times New Roman"/>
                <w:color w:val="808080" w:themeColor="background1" w:themeShade="80"/>
                <w:sz w:val="22"/>
                <w:szCs w:val="22"/>
              </w:rPr>
              <w:t xml:space="preserve">Ensemble des acteurs de la filière : conseillers des organisations professionnelles agricoles, du développement, du négoce et de la coopération, techniciens de firmes phytopharmaceutiques et prestataires de service en expérimentation, enseignants. </w:t>
            </w:r>
          </w:p>
        </w:tc>
      </w:tr>
      <w:tr w:rsidR="00471C00" w14:paraId="0A713FB4" w14:textId="77777777" w:rsidTr="00471C00">
        <w:tc>
          <w:tcPr>
            <w:tcW w:w="1709" w:type="dxa"/>
            <w:shd w:val="clear" w:color="auto" w:fill="E0E0E0"/>
          </w:tcPr>
          <w:p w14:paraId="1323F96F" w14:textId="77777777" w:rsidR="00471C00" w:rsidRPr="00243809" w:rsidRDefault="00471C00" w:rsidP="00471C00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243809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08438BBA" w14:textId="77777777" w:rsidR="00D15DF5" w:rsidRPr="00D15DF5" w:rsidRDefault="00D15DF5" w:rsidP="00D15DF5">
            <w:pPr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D15DF5"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Les différents cadres réglementaires français et européen, </w:t>
            </w:r>
          </w:p>
          <w:p w14:paraId="22540995" w14:textId="77777777" w:rsidR="00D15DF5" w:rsidRPr="00D15DF5" w:rsidRDefault="00D15DF5" w:rsidP="00D15DF5">
            <w:pPr>
              <w:pStyle w:val="Paragraphedeliste"/>
              <w:numPr>
                <w:ilvl w:val="0"/>
                <w:numId w:val="43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>Classification des produits commercialisés : engrais ou amendements organiques répondant à une norme NFU, Matière Fertilisante Support de Culture (MFSC), homologation des additifs agronomique,</w:t>
            </w:r>
          </w:p>
          <w:p w14:paraId="0D0056A6" w14:textId="77777777" w:rsidR="00D15DF5" w:rsidRPr="00D15DF5" w:rsidRDefault="00D15DF5" w:rsidP="00D15DF5">
            <w:pPr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D15DF5"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  <w:t>Les différents modes d'actions :</w:t>
            </w:r>
          </w:p>
          <w:p w14:paraId="6108D6A6" w14:textId="0281AEB4" w:rsidR="00D15DF5" w:rsidRPr="00D15DF5" w:rsidRDefault="00D15DF5" w:rsidP="00D15DF5">
            <w:pPr>
              <w:pStyle w:val="Paragraphedeliste"/>
              <w:numPr>
                <w:ilvl w:val="0"/>
                <w:numId w:val="44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>L’absorption des nutriments</w:t>
            </w:r>
          </w:p>
          <w:p w14:paraId="2B1F8EEC" w14:textId="41D13AFD" w:rsidR="00D15DF5" w:rsidRPr="00D15DF5" w:rsidRDefault="00D15DF5" w:rsidP="00D15DF5">
            <w:pPr>
              <w:pStyle w:val="Paragraphedeliste"/>
              <w:numPr>
                <w:ilvl w:val="0"/>
                <w:numId w:val="44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>La biodisponibilité et l’efficience de l’assimilation des nutriments</w:t>
            </w:r>
          </w:p>
          <w:p w14:paraId="74BACDCC" w14:textId="013C6487" w:rsidR="00D15DF5" w:rsidRPr="00D15DF5" w:rsidRDefault="00D15DF5" w:rsidP="00D15DF5">
            <w:pPr>
              <w:pStyle w:val="Paragraphedeliste"/>
              <w:numPr>
                <w:ilvl w:val="0"/>
                <w:numId w:val="44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>La tolérance aux stress abiotiques</w:t>
            </w:r>
          </w:p>
          <w:p w14:paraId="3D75F1B0" w14:textId="11ED85FB" w:rsidR="00D15DF5" w:rsidRPr="00D15DF5" w:rsidRDefault="00D15DF5" w:rsidP="00D15DF5">
            <w:pPr>
              <w:pStyle w:val="Paragraphedeliste"/>
              <w:numPr>
                <w:ilvl w:val="0"/>
                <w:numId w:val="44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>La qualité de la culture ou le rendement de la culture</w:t>
            </w:r>
          </w:p>
          <w:p w14:paraId="70C5BA09" w14:textId="0340400C" w:rsidR="00D15DF5" w:rsidRPr="00D15DF5" w:rsidRDefault="00D15DF5" w:rsidP="00D15DF5">
            <w:pPr>
              <w:pStyle w:val="Paragraphedeliste"/>
              <w:numPr>
                <w:ilvl w:val="0"/>
                <w:numId w:val="44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>Le maintien des niveaux de croissance et de production, en conditions non optimales</w:t>
            </w:r>
          </w:p>
          <w:p w14:paraId="6C7EE7F3" w14:textId="6C9F7094" w:rsidR="00D15DF5" w:rsidRPr="00D15DF5" w:rsidRDefault="00D15DF5" w:rsidP="00D15DF5">
            <w:pPr>
              <w:pStyle w:val="Paragraphedeliste"/>
              <w:numPr>
                <w:ilvl w:val="0"/>
                <w:numId w:val="44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>La stimulation et la fortification des plantes</w:t>
            </w:r>
          </w:p>
          <w:p w14:paraId="5B9538B5" w14:textId="77777777" w:rsidR="00D15DF5" w:rsidRPr="00D15DF5" w:rsidRDefault="00D15DF5" w:rsidP="00D15DF5">
            <w:pPr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  <w:p w14:paraId="06AD5318" w14:textId="4EB47EF5" w:rsidR="00D15DF5" w:rsidRPr="00D15DF5" w:rsidRDefault="00D15DF5" w:rsidP="00D15DF5">
            <w:pPr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D15DF5"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  <w:t>Quelles pistes d’intégration de ces produits au sein des itinéraires de production</w:t>
            </w:r>
          </w:p>
          <w:p w14:paraId="4259834E" w14:textId="77777777" w:rsidR="00D15DF5" w:rsidRPr="00D15DF5" w:rsidRDefault="00D15DF5" w:rsidP="00D15DF5">
            <w:pPr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  <w:p w14:paraId="7F0F1B07" w14:textId="77777777" w:rsidR="00D15DF5" w:rsidRPr="00D15DF5" w:rsidRDefault="00D15DF5" w:rsidP="00D15DF5">
            <w:pPr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D15DF5">
              <w:rPr>
                <w:rFonts w:ascii="Source Sans Pro" w:hAnsi="Source Sans Pro" w:cs="Times New Roman"/>
                <w:b/>
                <w:bCs/>
                <w:color w:val="808080" w:themeColor="background1" w:themeShade="80"/>
                <w:sz w:val="22"/>
                <w:szCs w:val="22"/>
              </w:rPr>
              <w:t>Liens avec les produits conventionnels,</w:t>
            </w:r>
          </w:p>
          <w:p w14:paraId="018CD7A1" w14:textId="77777777" w:rsidR="00D15DF5" w:rsidRPr="00D15DF5" w:rsidRDefault="00D15DF5" w:rsidP="00D15DF5">
            <w:pPr>
              <w:pStyle w:val="Paragraphedeliste"/>
              <w:numPr>
                <w:ilvl w:val="0"/>
                <w:numId w:val="45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lastRenderedPageBreak/>
              <w:t>Positionnement des produits, bénéfices attendus et spécificités réglementaires,</w:t>
            </w:r>
          </w:p>
          <w:p w14:paraId="1338E72D" w14:textId="77777777" w:rsidR="00D15DF5" w:rsidRPr="00D15DF5" w:rsidRDefault="00D15DF5" w:rsidP="00D15DF5">
            <w:pPr>
              <w:pStyle w:val="Paragraphedeliste"/>
              <w:numPr>
                <w:ilvl w:val="0"/>
                <w:numId w:val="45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>Application et mise en œuvre d’une stratégie globale,</w:t>
            </w:r>
          </w:p>
          <w:p w14:paraId="090958DB" w14:textId="77777777" w:rsidR="00D15DF5" w:rsidRPr="00D15DF5" w:rsidRDefault="00D15DF5" w:rsidP="00D15DF5">
            <w:pPr>
              <w:pStyle w:val="Paragraphedeliste"/>
              <w:numPr>
                <w:ilvl w:val="0"/>
                <w:numId w:val="45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 xml:space="preserve">Nouveaux produits et modes d’action de demain, </w:t>
            </w:r>
          </w:p>
          <w:p w14:paraId="46A28EAE" w14:textId="77777777" w:rsidR="00D15DF5" w:rsidRPr="00D15DF5" w:rsidRDefault="00D15DF5" w:rsidP="00D15DF5">
            <w:pPr>
              <w:pStyle w:val="Paragraphedeliste"/>
              <w:numPr>
                <w:ilvl w:val="0"/>
                <w:numId w:val="45"/>
              </w:numPr>
              <w:rPr>
                <w:rFonts w:ascii="Source Sans Pro" w:hAnsi="Source Sans Pro" w:cs="Times New Roman"/>
                <w:color w:val="808080" w:themeColor="background1" w:themeShade="80"/>
              </w:rPr>
            </w:pPr>
            <w:r w:rsidRPr="00D15DF5">
              <w:rPr>
                <w:rFonts w:ascii="Source Sans Pro" w:hAnsi="Source Sans Pro" w:cs="Times New Roman"/>
                <w:color w:val="808080" w:themeColor="background1" w:themeShade="80"/>
              </w:rPr>
              <w:t>Perspectives de recherche et développement.</w:t>
            </w:r>
          </w:p>
          <w:p w14:paraId="5C7EE057" w14:textId="735C4ABB" w:rsidR="00224DD0" w:rsidRPr="00F95644" w:rsidRDefault="00224DD0" w:rsidP="00F95644">
            <w:pPr>
              <w:ind w:left="360"/>
              <w:rPr>
                <w:rFonts w:ascii="Source Sans Pro" w:hAnsi="Source Sans Pro"/>
                <w:color w:val="808080" w:themeColor="background1" w:themeShade="80"/>
              </w:rPr>
            </w:pPr>
          </w:p>
        </w:tc>
      </w:tr>
      <w:tr w:rsidR="00471C00" w14:paraId="0FDBB6A9" w14:textId="77777777" w:rsidTr="00471C00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471C00" w:rsidRPr="00243809" w:rsidRDefault="00471C00" w:rsidP="00471C00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243809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lastRenderedPageBreak/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4C775345" w14:textId="2B708F4D" w:rsidR="00471C00" w:rsidRPr="004275C1" w:rsidRDefault="00471C00" w:rsidP="00471C00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</w:pPr>
            <w:r w:rsidRPr="004275C1"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  <w:t>Formateur spécialisé</w:t>
            </w:r>
            <w:r w:rsidR="004275C1"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  <w:t xml:space="preserve"> avec expertise de terrain.</w:t>
            </w:r>
          </w:p>
          <w:p w14:paraId="5B420C38" w14:textId="1EBCCFA9" w:rsidR="00E12C7D" w:rsidRPr="004275C1" w:rsidRDefault="00E12C7D" w:rsidP="00471C00">
            <w:pPr>
              <w:pStyle w:val="NormalWeb1"/>
              <w:spacing w:beforeLines="2" w:before="4" w:line="300" w:lineRule="exact"/>
              <w:rPr>
                <w:color w:val="808080" w:themeColor="background1" w:themeShade="80"/>
              </w:rPr>
            </w:pPr>
          </w:p>
        </w:tc>
      </w:tr>
      <w:tr w:rsidR="00471C00" w14:paraId="7BEDDA8E" w14:textId="77777777" w:rsidTr="00471C00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BEAE32B" w:rsidR="00471C00" w:rsidRPr="00471C00" w:rsidRDefault="00471C00" w:rsidP="00471C00">
            <w:pPr>
              <w:pStyle w:val="NormalWeb1"/>
              <w:spacing w:beforeLines="8" w:before="19"/>
              <w:jc w:val="right"/>
              <w:rPr>
                <w:rFonts w:asciiTheme="minorHAnsi" w:hAnsiTheme="minorHAnsi"/>
                <w:color w:val="FF480B" w:themeColor="accent6"/>
              </w:rPr>
            </w:pPr>
            <w:r w:rsidRPr="00471C00">
              <w:rPr>
                <w:rFonts w:asciiTheme="minorHAnsi" w:hAnsiTheme="minorHAnsi"/>
                <w:color w:val="FF480B" w:themeColor="accent6"/>
              </w:rPr>
              <w:t>M</w:t>
            </w:r>
            <w:r>
              <w:rPr>
                <w:rFonts w:asciiTheme="minorHAnsi" w:hAnsiTheme="minorHAnsi"/>
                <w:color w:val="FF480B" w:themeColor="accent6"/>
              </w:rPr>
              <w:t>É</w:t>
            </w:r>
            <w:r w:rsidRPr="00471C00">
              <w:rPr>
                <w:rFonts w:asciiTheme="minorHAnsi" w:hAnsiTheme="minorHAnsi"/>
                <w:color w:val="FF480B" w:themeColor="accent6"/>
              </w:rPr>
              <w:t xml:space="preserve">THODES ET MOYENS </w:t>
            </w:r>
          </w:p>
          <w:p w14:paraId="0EAB7D3B" w14:textId="77777777" w:rsidR="00471C00" w:rsidRPr="004C03C9" w:rsidRDefault="00471C00" w:rsidP="00471C00">
            <w:pPr>
              <w:pStyle w:val="NormalWeb1"/>
              <w:spacing w:beforeLines="8" w:before="19"/>
              <w:jc w:val="right"/>
              <w:rPr>
                <w:color w:val="FF0000"/>
              </w:rPr>
            </w:pPr>
            <w:r w:rsidRPr="00243809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79C963FA" w14:textId="1FD0AF29" w:rsidR="009604FE" w:rsidRPr="009604FE" w:rsidRDefault="009604FE" w:rsidP="009604FE">
            <w:pPr>
              <w:numPr>
                <w:ilvl w:val="0"/>
                <w:numId w:val="7"/>
              </w:numPr>
              <w:ind w:right="141"/>
              <w:jc w:val="both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9604FE">
              <w:rPr>
                <w:rFonts w:cs="Times New Roman"/>
                <w:color w:val="808080" w:themeColor="background1" w:themeShade="80"/>
                <w:sz w:val="22"/>
                <w:szCs w:val="22"/>
              </w:rPr>
              <w:t>Nombre de participants maximum : 15</w:t>
            </w:r>
            <w:r w:rsidR="00A227CF">
              <w:rPr>
                <w:rFonts w:cs="Times New Roman"/>
                <w:color w:val="808080" w:themeColor="background1" w:themeShade="80"/>
                <w:sz w:val="22"/>
                <w:szCs w:val="22"/>
              </w:rPr>
              <w:t> ;</w:t>
            </w:r>
          </w:p>
          <w:p w14:paraId="5E571A8C" w14:textId="4AE7EE46" w:rsidR="009604FE" w:rsidRPr="009604FE" w:rsidRDefault="009604FE" w:rsidP="009604FE">
            <w:pPr>
              <w:numPr>
                <w:ilvl w:val="0"/>
                <w:numId w:val="7"/>
              </w:numPr>
              <w:ind w:right="141"/>
              <w:jc w:val="both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9604FE">
              <w:rPr>
                <w:rFonts w:cs="Times New Roman"/>
                <w:color w:val="808080" w:themeColor="background1" w:themeShade="80"/>
                <w:sz w:val="22"/>
                <w:szCs w:val="22"/>
              </w:rPr>
              <w:t>Remue-méninges, échanges, mutualisation, et apports théoriques</w:t>
            </w:r>
            <w:r w:rsidR="00A227CF">
              <w:rPr>
                <w:rFonts w:cs="Times New Roman"/>
                <w:color w:val="808080" w:themeColor="background1" w:themeShade="80"/>
                <w:sz w:val="22"/>
                <w:szCs w:val="22"/>
              </w:rPr>
              <w:t> ;</w:t>
            </w:r>
          </w:p>
          <w:p w14:paraId="2D4D72DE" w14:textId="3CDC9F13" w:rsidR="009604FE" w:rsidRPr="009604FE" w:rsidRDefault="009604FE" w:rsidP="009604FE">
            <w:pPr>
              <w:numPr>
                <w:ilvl w:val="0"/>
                <w:numId w:val="7"/>
              </w:numPr>
              <w:ind w:right="141"/>
              <w:jc w:val="both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9604FE">
              <w:rPr>
                <w:rFonts w:cs="Times New Roman"/>
                <w:color w:val="808080" w:themeColor="background1" w:themeShade="80"/>
                <w:sz w:val="22"/>
                <w:szCs w:val="22"/>
              </w:rPr>
              <w:t>Animation et présentation du contenu sur supports PowerPoint et documents de synthèse</w:t>
            </w:r>
            <w:r w:rsidR="00A227CF">
              <w:rPr>
                <w:rFonts w:cs="Times New Roman"/>
                <w:color w:val="808080" w:themeColor="background1" w:themeShade="80"/>
                <w:sz w:val="22"/>
                <w:szCs w:val="22"/>
              </w:rPr>
              <w:t> ;</w:t>
            </w:r>
          </w:p>
          <w:p w14:paraId="1AD6B925" w14:textId="6F39852E" w:rsidR="009604FE" w:rsidRPr="009604FE" w:rsidRDefault="009604FE" w:rsidP="009604FE">
            <w:pPr>
              <w:numPr>
                <w:ilvl w:val="0"/>
                <w:numId w:val="7"/>
              </w:numPr>
              <w:ind w:right="141"/>
              <w:jc w:val="both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  <w:r w:rsidRPr="009604FE">
              <w:rPr>
                <w:rFonts w:cs="Times New Roman"/>
                <w:color w:val="808080" w:themeColor="background1" w:themeShade="80"/>
                <w:sz w:val="22"/>
                <w:szCs w:val="22"/>
              </w:rPr>
              <w:t>Développement pédagogique à partir de cas concrets pour évoquer des situations rencontrées par les participants dans le cadre de leurs activités habituelles</w:t>
            </w:r>
            <w:r w:rsidR="00A227CF">
              <w:rPr>
                <w:rFonts w:cs="Times New Roman"/>
                <w:color w:val="808080" w:themeColor="background1" w:themeShade="80"/>
                <w:sz w:val="22"/>
                <w:szCs w:val="22"/>
              </w:rPr>
              <w:t> ;</w:t>
            </w:r>
          </w:p>
          <w:p w14:paraId="6A0FD1BB" w14:textId="56443C6F" w:rsidR="00E1635A" w:rsidRPr="004275C1" w:rsidRDefault="009604FE" w:rsidP="00A227CF">
            <w:pPr>
              <w:numPr>
                <w:ilvl w:val="0"/>
                <w:numId w:val="7"/>
              </w:numPr>
              <w:ind w:right="141"/>
              <w:jc w:val="both"/>
              <w:rPr>
                <w:color w:val="808080" w:themeColor="background1" w:themeShade="80"/>
              </w:rPr>
            </w:pPr>
            <w:r w:rsidRPr="009604FE">
              <w:rPr>
                <w:rFonts w:cs="Times New Roman"/>
                <w:color w:val="808080" w:themeColor="background1" w:themeShade="80"/>
                <w:sz w:val="22"/>
                <w:szCs w:val="22"/>
              </w:rPr>
              <w:t>Clôture après évaluation et mesure de la satisfaction en fin de formation.</w:t>
            </w:r>
          </w:p>
        </w:tc>
      </w:tr>
      <w:tr w:rsidR="00F45BBA" w14:paraId="480787E2" w14:textId="77777777" w:rsidTr="00471C00">
        <w:trPr>
          <w:trHeight w:val="454"/>
        </w:trPr>
        <w:tc>
          <w:tcPr>
            <w:tcW w:w="1709" w:type="dxa"/>
            <w:shd w:val="clear" w:color="auto" w:fill="E0E0E0"/>
          </w:tcPr>
          <w:p w14:paraId="19DC7268" w14:textId="1BAFA127" w:rsidR="00F45BBA" w:rsidRDefault="00F45BBA" w:rsidP="00471C00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74C9D8E5" w14:textId="63D6C5A8" w:rsidR="00F45BBA" w:rsidRPr="004275C1" w:rsidRDefault="00FD5805" w:rsidP="00471C00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</w:pPr>
            <w:r w:rsidRPr="004275C1"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  <w:t>Certificat de réalisation</w:t>
            </w:r>
          </w:p>
          <w:p w14:paraId="391DD1D4" w14:textId="18C265D8" w:rsidR="00E12C7D" w:rsidRPr="004275C1" w:rsidRDefault="00E12C7D" w:rsidP="00471C00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</w:pPr>
          </w:p>
        </w:tc>
      </w:tr>
      <w:tr w:rsidR="00471C00" w14:paraId="249FB362" w14:textId="77777777" w:rsidTr="00471C00">
        <w:trPr>
          <w:trHeight w:val="454"/>
        </w:trPr>
        <w:tc>
          <w:tcPr>
            <w:tcW w:w="1709" w:type="dxa"/>
            <w:shd w:val="clear" w:color="auto" w:fill="E0E0E0"/>
          </w:tcPr>
          <w:p w14:paraId="07AB49F0" w14:textId="3A71E33E" w:rsidR="00471C00" w:rsidRPr="00243809" w:rsidRDefault="00471C00" w:rsidP="00471C00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RESPONSABLE DE STAGE</w:t>
            </w:r>
          </w:p>
        </w:tc>
        <w:tc>
          <w:tcPr>
            <w:tcW w:w="7222" w:type="dxa"/>
            <w:shd w:val="clear" w:color="auto" w:fill="auto"/>
          </w:tcPr>
          <w:p w14:paraId="51402386" w14:textId="3910A6ED" w:rsidR="00471C00" w:rsidRPr="004275C1" w:rsidRDefault="00DE23B1" w:rsidP="00471C00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  <w:t>J</w:t>
            </w:r>
            <w:r w:rsidR="00676946"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  <w:t>onathan THEVENET</w:t>
            </w:r>
          </w:p>
        </w:tc>
      </w:tr>
      <w:tr w:rsidR="00471C00" w14:paraId="77DE5097" w14:textId="77777777" w:rsidTr="00471C00">
        <w:trPr>
          <w:trHeight w:val="454"/>
        </w:trPr>
        <w:tc>
          <w:tcPr>
            <w:tcW w:w="1709" w:type="dxa"/>
            <w:shd w:val="clear" w:color="auto" w:fill="E0E0E0"/>
          </w:tcPr>
          <w:p w14:paraId="6EE681CE" w14:textId="77777777" w:rsidR="00471C00" w:rsidRPr="00243809" w:rsidRDefault="00471C00" w:rsidP="00471C00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243809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17E10B08" w14:textId="674274BA" w:rsidR="00326796" w:rsidRPr="004275C1" w:rsidRDefault="005D35F7" w:rsidP="00326796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4275C1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7h00</w:t>
            </w:r>
            <w:r w:rsidR="00A227C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(1 jour)</w:t>
            </w:r>
          </w:p>
          <w:p w14:paraId="1C0E9E5F" w14:textId="7E92C9B1" w:rsidR="00E12C7D" w:rsidRPr="004275C1" w:rsidRDefault="00E12C7D" w:rsidP="00471C00">
            <w:pPr>
              <w:pStyle w:val="NormalWeb1"/>
              <w:spacing w:beforeLines="2" w:before="4" w:line="300" w:lineRule="exact"/>
              <w:rPr>
                <w:color w:val="808080" w:themeColor="background1" w:themeShade="80"/>
              </w:rPr>
            </w:pPr>
          </w:p>
        </w:tc>
      </w:tr>
      <w:tr w:rsidR="00471C00" w14:paraId="4CA9EF94" w14:textId="77777777" w:rsidTr="00471C00">
        <w:trPr>
          <w:trHeight w:val="454"/>
        </w:trPr>
        <w:tc>
          <w:tcPr>
            <w:tcW w:w="1709" w:type="dxa"/>
            <w:shd w:val="clear" w:color="auto" w:fill="E0E0E0"/>
          </w:tcPr>
          <w:p w14:paraId="04E8B201" w14:textId="79D2C030" w:rsidR="00471C00" w:rsidRPr="00243809" w:rsidRDefault="00471C00" w:rsidP="00471C00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COÛTS ET MODALIT</w:t>
            </w:r>
            <w:r w:rsidRPr="009F2D7E">
              <w:rPr>
                <w:rFonts w:asciiTheme="minorHAnsi" w:hAnsiTheme="minorHAnsi"/>
                <w:color w:val="FF480B" w:themeColor="accent6"/>
                <w:sz w:val="22"/>
                <w:szCs w:val="22"/>
              </w:rPr>
              <w:t>É</w:t>
            </w:r>
            <w:r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S</w:t>
            </w:r>
          </w:p>
        </w:tc>
        <w:tc>
          <w:tcPr>
            <w:tcW w:w="7222" w:type="dxa"/>
            <w:shd w:val="clear" w:color="auto" w:fill="auto"/>
          </w:tcPr>
          <w:p w14:paraId="21E704A1" w14:textId="4AE49028" w:rsidR="00471C00" w:rsidRPr="004275C1" w:rsidRDefault="002B47C1" w:rsidP="00471C00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4275C1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Pour connaître t</w:t>
            </w:r>
            <w:r w:rsidR="00471C00" w:rsidRPr="004275C1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outes les conditions d’accessibilité </w:t>
            </w:r>
            <w:r w:rsidR="00471C00" w:rsidRPr="004275C1">
              <w:rPr>
                <w:rStyle w:val="lev"/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(y compris pour les personnes en situation de handicap)</w:t>
            </w:r>
            <w:r w:rsidR="00471C00" w:rsidRPr="004275C1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, les délais d’accès et le prix de chacune de nos formations : nous contacter.</w:t>
            </w:r>
          </w:p>
          <w:p w14:paraId="6E018DCD" w14:textId="77777777" w:rsidR="00471C00" w:rsidRPr="004275C1" w:rsidRDefault="00471C00" w:rsidP="00471C00">
            <w:pPr>
              <w:pStyle w:val="NormalWeb1"/>
              <w:spacing w:beforeLines="2" w:before="4" w:line="300" w:lineRule="exact"/>
              <w:ind w:firstLine="720"/>
              <w:rPr>
                <w:rFonts w:ascii="Source Sans Pro" w:hAnsi="Source Sans Pro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76232B5E" w14:textId="10D732B7" w:rsidR="00102FCB" w:rsidRPr="00F07726" w:rsidRDefault="00F51BC8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>
        <w:rPr>
          <w:rFonts w:ascii="Source Sans Pro" w:hAnsi="Source Sans Pro" w:cs="Times New Roman"/>
          <w:noProof/>
          <w:color w:val="99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AC47B" wp14:editId="4E6CB784">
                <wp:simplePos x="0" y="0"/>
                <wp:positionH relativeFrom="column">
                  <wp:posOffset>6221095</wp:posOffset>
                </wp:positionH>
                <wp:positionV relativeFrom="paragraph">
                  <wp:posOffset>-5598160</wp:posOffset>
                </wp:positionV>
                <wp:extent cx="457200" cy="3634740"/>
                <wp:effectExtent l="0" t="0" r="0" b="0"/>
                <wp:wrapTight wrapText="bothSides">
                  <wp:wrapPolygon edited="0">
                    <wp:start x="1800" y="340"/>
                    <wp:lineTo x="1800" y="21170"/>
                    <wp:lineTo x="18900" y="21170"/>
                    <wp:lineTo x="18900" y="340"/>
                    <wp:lineTo x="1800" y="34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3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03AE" w14:textId="15B9B32B" w:rsidR="00F51BC8" w:rsidRPr="00384292" w:rsidRDefault="00F51BC8" w:rsidP="00F51BC8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F95644">
                              <w:rPr>
                                <w:rFonts w:ascii="Source Sans Pro" w:hAnsi="Source Sans Pro"/>
                                <w:b/>
                                <w:color w:val="008000"/>
                                <w:sz w:val="20"/>
                              </w:rPr>
                              <w:t>BIOSTIMULANTS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C47B" id="_x0000_s1027" type="#_x0000_t202" style="position:absolute;margin-left:489.85pt;margin-top:-440.8pt;width:36pt;height:2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" filled="f" stroked="f">
                <v:textbox style="layout-flow:vertical;mso-layout-flow-alt:bottom-to-top" inset=",7.2pt,,7.2pt">
                  <w:txbxContent>
                    <w:p w14:paraId="7A1503AE" w14:textId="15B9B32B" w:rsidR="00F51BC8" w:rsidRPr="00384292" w:rsidRDefault="00F51BC8" w:rsidP="00F51BC8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F95644">
                        <w:rPr>
                          <w:rFonts w:ascii="Source Sans Pro" w:hAnsi="Source Sans Pro"/>
                          <w:b/>
                          <w:color w:val="008000"/>
                          <w:sz w:val="20"/>
                        </w:rPr>
                        <w:t>BIOSTIMULANTS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9DB5" w14:textId="77777777" w:rsidR="006664F4" w:rsidRDefault="006664F4">
      <w:pPr>
        <w:spacing w:after="0"/>
      </w:pPr>
      <w:r>
        <w:separator/>
      </w:r>
    </w:p>
  </w:endnote>
  <w:endnote w:type="continuationSeparator" w:id="0">
    <w:p w14:paraId="30312EA0" w14:textId="77777777" w:rsidR="006664F4" w:rsidRDefault="00666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B74F" w14:textId="77777777" w:rsidR="002B47C1" w:rsidRDefault="002B47C1" w:rsidP="002B47C1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2B47C1" w14:paraId="0A70D6DC" w14:textId="77777777" w:rsidTr="00517A3A">
      <w:trPr>
        <w:jc w:val="center"/>
      </w:trPr>
      <w:tc>
        <w:tcPr>
          <w:tcW w:w="1773" w:type="dxa"/>
          <w:vAlign w:val="center"/>
        </w:tcPr>
        <w:p w14:paraId="55550A6B" w14:textId="4121BC07" w:rsidR="002B47C1" w:rsidRPr="00C87EF0" w:rsidRDefault="002B47C1" w:rsidP="002B47C1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3A7D97F8" w14:textId="77777777" w:rsidR="002B47C1" w:rsidRPr="00CD36DB" w:rsidRDefault="002B47C1" w:rsidP="002B47C1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7F3BCA8C" w14:textId="77777777" w:rsidR="002B47C1" w:rsidRPr="00CD36DB" w:rsidRDefault="002B47C1" w:rsidP="002B47C1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33D66BAC" w14:textId="77777777" w:rsidR="002B47C1" w:rsidRPr="0093246D" w:rsidRDefault="002B47C1" w:rsidP="002B47C1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43ED876A" w14:textId="77777777" w:rsidR="002B47C1" w:rsidRPr="003B08A9" w:rsidRDefault="002B47C1" w:rsidP="002B47C1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4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25EF783C" w14:textId="77777777" w:rsidR="002B47C1" w:rsidRPr="00A1429B" w:rsidRDefault="002B47C1" w:rsidP="002B47C1">
    <w:pPr>
      <w:pStyle w:val="Pieddepage"/>
      <w:rPr>
        <w:sz w:val="2"/>
        <w:szCs w:val="2"/>
      </w:rPr>
    </w:pPr>
  </w:p>
  <w:p w14:paraId="6EE4661E" w14:textId="77777777" w:rsidR="002B47C1" w:rsidRPr="002B31AF" w:rsidRDefault="002B47C1" w:rsidP="002B47C1">
    <w:pPr>
      <w:pStyle w:val="Pieddepage"/>
    </w:pPr>
  </w:p>
  <w:p w14:paraId="7EF6A492" w14:textId="1A30995E" w:rsidR="00AC36AA" w:rsidRPr="002B47C1" w:rsidRDefault="00AC36AA" w:rsidP="002B47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0A12" w14:textId="77777777" w:rsidR="006664F4" w:rsidRDefault="006664F4">
      <w:pPr>
        <w:spacing w:after="0"/>
      </w:pPr>
      <w:r>
        <w:separator/>
      </w:r>
    </w:p>
  </w:footnote>
  <w:footnote w:type="continuationSeparator" w:id="0">
    <w:p w14:paraId="738B4292" w14:textId="77777777" w:rsidR="006664F4" w:rsidRDefault="00666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9AF02C8" w:rsidR="00F86CA0" w:rsidRDefault="00F45BBA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42BF8362" wp14:editId="3D806F9C">
          <wp:simplePos x="0" y="0"/>
          <wp:positionH relativeFrom="column">
            <wp:posOffset>-240030</wp:posOffset>
          </wp:positionH>
          <wp:positionV relativeFrom="paragraph">
            <wp:posOffset>103505</wp:posOffset>
          </wp:positionV>
          <wp:extent cx="1706880" cy="990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18B67" w14:textId="1F623ECA" w:rsidR="00326313" w:rsidRPr="00BD3E95" w:rsidRDefault="00F86CA0" w:rsidP="00211B41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 w:rsidRPr="00326313">
      <w:rPr>
        <w:rFonts w:ascii="Source Sans Pro" w:hAnsi="Source Sans Pro" w:cs="Times New Roman"/>
        <w:b/>
        <w:bCs/>
        <w:color w:val="FFFFFF"/>
        <w:sz w:val="20"/>
        <w:szCs w:val="20"/>
        <w:shd w:val="clear" w:color="auto" w:fill="009900"/>
      </w:rPr>
      <w:t xml:space="preserve">FORMATION </w:t>
    </w:r>
    <w:r w:rsidR="009E1194">
      <w:rPr>
        <w:rFonts w:ascii="Source Sans Pro" w:hAnsi="Source Sans Pro" w:cs="Times New Roman"/>
        <w:b/>
        <w:bCs/>
        <w:color w:val="FFFFFF"/>
        <w:sz w:val="20"/>
        <w:szCs w:val="20"/>
        <w:shd w:val="clear" w:color="auto" w:fill="009900"/>
      </w:rPr>
      <w:t>BIOSTIMULANTS</w:t>
    </w:r>
    <w:r w:rsidR="009E1194" w:rsidRPr="00326313"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  <w:t xml:space="preserve"> «</w:t>
    </w:r>
    <w:r w:rsidR="00326313" w:rsidRPr="00326313"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  <w:t> </w:t>
    </w:r>
    <w:r w:rsidR="00663F13"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  <w:t xml:space="preserve">Quels bénéfices </w:t>
    </w:r>
    <w:r w:rsidR="009E1194"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  <w:t>agroécologiques</w:t>
    </w:r>
    <w:r w:rsidR="009E1194" w:rsidRPr="00276BB4"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  <w:t xml:space="preserve"> »</w:t>
    </w:r>
  </w:p>
  <w:p w14:paraId="488E11FC" w14:textId="18334E69" w:rsidR="00243809" w:rsidRPr="00F86CA0" w:rsidRDefault="00F86CA0" w:rsidP="00326313">
    <w:pPr>
      <w:spacing w:beforeLines="1" w:before="2" w:after="0" w:line="288" w:lineRule="auto"/>
      <w:ind w:left="720"/>
      <w:jc w:val="right"/>
      <w:rPr>
        <w:rFonts w:ascii="Times" w:hAnsi="Times" w:cs="Times New Roman"/>
        <w:color w:val="FF480B" w:themeColor="accent6"/>
        <w:sz w:val="20"/>
        <w:szCs w:val="20"/>
      </w:rPr>
    </w:pPr>
    <w:r w:rsidRPr="00243809">
      <w:rPr>
        <w:rFonts w:ascii="Source Sans Pro" w:hAnsi="Source Sans Pro" w:cs="Times New Roman"/>
        <w:color w:val="FF480B" w:themeColor="accent6"/>
        <w:sz w:val="20"/>
        <w:szCs w:val="20"/>
      </w:rPr>
      <w:t xml:space="preserve">MISE À JOUR </w:t>
    </w:r>
    <w:r w:rsidR="002F3B47">
      <w:rPr>
        <w:rFonts w:ascii="Source Sans Pro" w:hAnsi="Source Sans Pro" w:cs="Times New Roman"/>
        <w:color w:val="FF480B" w:themeColor="accent6"/>
        <w:sz w:val="20"/>
        <w:szCs w:val="20"/>
      </w:rPr>
      <w:t>JANVIER</w:t>
    </w:r>
    <w:r w:rsidR="00211B41">
      <w:rPr>
        <w:rFonts w:ascii="Source Sans Pro" w:hAnsi="Source Sans Pro" w:cs="Times New Roman"/>
        <w:color w:val="FF480B" w:themeColor="accent6"/>
        <w:sz w:val="20"/>
        <w:szCs w:val="20"/>
      </w:rPr>
      <w:t xml:space="preserve"> </w:t>
    </w:r>
    <w:r w:rsidRPr="00243809">
      <w:rPr>
        <w:rFonts w:ascii="Source Sans Pro" w:hAnsi="Source Sans Pro" w:cs="Times New Roman"/>
        <w:color w:val="FF480B" w:themeColor="accent6"/>
        <w:sz w:val="20"/>
        <w:szCs w:val="20"/>
      </w:rPr>
      <w:t xml:space="preserve"> 2</w:t>
    </w:r>
    <w:r w:rsidR="00DE7BF4">
      <w:rPr>
        <w:rFonts w:ascii="Source Sans Pro" w:hAnsi="Source Sans Pro" w:cs="Times New Roman"/>
        <w:color w:val="FF480B" w:themeColor="accent6"/>
        <w:sz w:val="20"/>
        <w:szCs w:val="20"/>
      </w:rPr>
      <w:t>02</w:t>
    </w:r>
    <w:r w:rsidR="002F3B47">
      <w:rPr>
        <w:rFonts w:ascii="Source Sans Pro" w:hAnsi="Source Sans Pro" w:cs="Times New Roman"/>
        <w:color w:val="FF480B" w:themeColor="accent6"/>
        <w:sz w:val="20"/>
        <w:szCs w:val="20"/>
      </w:rPr>
      <w:t>4</w:t>
    </w:r>
  </w:p>
  <w:p w14:paraId="39505B41" w14:textId="19C60FE0" w:rsidR="00243809" w:rsidRDefault="00243809" w:rsidP="00F86CA0">
    <w:pPr>
      <w:pStyle w:val="En-tte"/>
    </w:pPr>
  </w:p>
  <w:p w14:paraId="507949C7" w14:textId="77777777" w:rsidR="00F45BBA" w:rsidRDefault="00F45BBA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EC5B80"/>
    <w:multiLevelType w:val="hybridMultilevel"/>
    <w:tmpl w:val="0ACA2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8B6A5F"/>
    <w:multiLevelType w:val="hybridMultilevel"/>
    <w:tmpl w:val="20140D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29292A"/>
    <w:multiLevelType w:val="hybridMultilevel"/>
    <w:tmpl w:val="B8EE1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BF65A5"/>
    <w:multiLevelType w:val="hybridMultilevel"/>
    <w:tmpl w:val="5660F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D46E9"/>
    <w:multiLevelType w:val="hybridMultilevel"/>
    <w:tmpl w:val="206C5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D6762"/>
    <w:multiLevelType w:val="hybridMultilevel"/>
    <w:tmpl w:val="D8BAE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A713D"/>
    <w:multiLevelType w:val="hybridMultilevel"/>
    <w:tmpl w:val="E00EF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D0997"/>
    <w:multiLevelType w:val="hybridMultilevel"/>
    <w:tmpl w:val="233AC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50DFC"/>
    <w:multiLevelType w:val="hybridMultilevel"/>
    <w:tmpl w:val="79E23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33D09"/>
    <w:multiLevelType w:val="hybridMultilevel"/>
    <w:tmpl w:val="A9A2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10F46"/>
    <w:multiLevelType w:val="hybridMultilevel"/>
    <w:tmpl w:val="486CC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907EC"/>
    <w:multiLevelType w:val="hybridMultilevel"/>
    <w:tmpl w:val="9146BC84"/>
    <w:lvl w:ilvl="0" w:tplc="DEA0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33564"/>
    <w:multiLevelType w:val="hybridMultilevel"/>
    <w:tmpl w:val="FDDC9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351BA"/>
    <w:multiLevelType w:val="hybridMultilevel"/>
    <w:tmpl w:val="45320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663F47"/>
    <w:multiLevelType w:val="hybridMultilevel"/>
    <w:tmpl w:val="83DE7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D6FC5"/>
    <w:multiLevelType w:val="multilevel"/>
    <w:tmpl w:val="C61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A354AA"/>
    <w:multiLevelType w:val="hybridMultilevel"/>
    <w:tmpl w:val="46FA570C"/>
    <w:lvl w:ilvl="0" w:tplc="9036FA5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50"/>
        <w:sz w:val="28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523E0A"/>
    <w:multiLevelType w:val="hybridMultilevel"/>
    <w:tmpl w:val="70085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B790B"/>
    <w:multiLevelType w:val="hybridMultilevel"/>
    <w:tmpl w:val="F5100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00996"/>
    <w:multiLevelType w:val="hybridMultilevel"/>
    <w:tmpl w:val="E47C2458"/>
    <w:lvl w:ilvl="0" w:tplc="DEA05C6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5861950"/>
    <w:multiLevelType w:val="singleLevel"/>
    <w:tmpl w:val="4FF00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3341F5"/>
    <w:multiLevelType w:val="hybridMultilevel"/>
    <w:tmpl w:val="2CC02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3D283B"/>
    <w:multiLevelType w:val="hybridMultilevel"/>
    <w:tmpl w:val="3A924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181492">
    <w:abstractNumId w:val="15"/>
  </w:num>
  <w:num w:numId="2" w16cid:durableId="63531595">
    <w:abstractNumId w:val="17"/>
  </w:num>
  <w:num w:numId="3" w16cid:durableId="463431035">
    <w:abstractNumId w:val="43"/>
  </w:num>
  <w:num w:numId="4" w16cid:durableId="195393268">
    <w:abstractNumId w:val="40"/>
  </w:num>
  <w:num w:numId="5" w16cid:durableId="508643792">
    <w:abstractNumId w:val="12"/>
  </w:num>
  <w:num w:numId="6" w16cid:durableId="1689526753">
    <w:abstractNumId w:val="34"/>
  </w:num>
  <w:num w:numId="7" w16cid:durableId="1022052336">
    <w:abstractNumId w:val="30"/>
  </w:num>
  <w:num w:numId="8" w16cid:durableId="1538354870">
    <w:abstractNumId w:val="41"/>
  </w:num>
  <w:num w:numId="9" w16cid:durableId="2110733670">
    <w:abstractNumId w:val="39"/>
  </w:num>
  <w:num w:numId="10" w16cid:durableId="1923641473">
    <w:abstractNumId w:val="14"/>
  </w:num>
  <w:num w:numId="11" w16cid:durableId="1988589696">
    <w:abstractNumId w:val="18"/>
  </w:num>
  <w:num w:numId="12" w16cid:durableId="1957641558">
    <w:abstractNumId w:val="10"/>
  </w:num>
  <w:num w:numId="13" w16cid:durableId="688991671">
    <w:abstractNumId w:val="8"/>
  </w:num>
  <w:num w:numId="14" w16cid:durableId="1497305119">
    <w:abstractNumId w:val="7"/>
  </w:num>
  <w:num w:numId="15" w16cid:durableId="1922713615">
    <w:abstractNumId w:val="6"/>
  </w:num>
  <w:num w:numId="16" w16cid:durableId="1168406931">
    <w:abstractNumId w:val="5"/>
  </w:num>
  <w:num w:numId="17" w16cid:durableId="233584174">
    <w:abstractNumId w:val="9"/>
  </w:num>
  <w:num w:numId="18" w16cid:durableId="708455261">
    <w:abstractNumId w:val="4"/>
  </w:num>
  <w:num w:numId="19" w16cid:durableId="929391694">
    <w:abstractNumId w:val="3"/>
  </w:num>
  <w:num w:numId="20" w16cid:durableId="302808313">
    <w:abstractNumId w:val="2"/>
  </w:num>
  <w:num w:numId="21" w16cid:durableId="623777735">
    <w:abstractNumId w:val="1"/>
  </w:num>
  <w:num w:numId="22" w16cid:durableId="1594507450">
    <w:abstractNumId w:val="0"/>
  </w:num>
  <w:num w:numId="23" w16cid:durableId="1159074760">
    <w:abstractNumId w:val="33"/>
  </w:num>
  <w:num w:numId="24" w16cid:durableId="426853491">
    <w:abstractNumId w:val="38"/>
  </w:num>
  <w:num w:numId="25" w16cid:durableId="2053844039">
    <w:abstractNumId w:val="13"/>
  </w:num>
  <w:num w:numId="26" w16cid:durableId="1443111500">
    <w:abstractNumId w:val="27"/>
  </w:num>
  <w:num w:numId="27" w16cid:durableId="1373067702">
    <w:abstractNumId w:val="23"/>
  </w:num>
  <w:num w:numId="28" w16cid:durableId="1544291808">
    <w:abstractNumId w:val="37"/>
  </w:num>
  <w:num w:numId="29" w16cid:durableId="1094784881">
    <w:abstractNumId w:val="11"/>
  </w:num>
  <w:num w:numId="30" w16cid:durableId="416290485">
    <w:abstractNumId w:val="32"/>
  </w:num>
  <w:num w:numId="31" w16cid:durableId="748772406">
    <w:abstractNumId w:val="31"/>
  </w:num>
  <w:num w:numId="32" w16cid:durableId="665788862">
    <w:abstractNumId w:val="22"/>
  </w:num>
  <w:num w:numId="33" w16cid:durableId="976186933">
    <w:abstractNumId w:val="25"/>
  </w:num>
  <w:num w:numId="34" w16cid:durableId="609239181">
    <w:abstractNumId w:val="16"/>
  </w:num>
  <w:num w:numId="35" w16cid:durableId="497573811">
    <w:abstractNumId w:val="21"/>
  </w:num>
  <w:num w:numId="36" w16cid:durableId="931744009">
    <w:abstractNumId w:val="19"/>
  </w:num>
  <w:num w:numId="37" w16cid:durableId="1044251009">
    <w:abstractNumId w:val="35"/>
  </w:num>
  <w:num w:numId="38" w16cid:durableId="1497648384">
    <w:abstractNumId w:val="26"/>
  </w:num>
  <w:num w:numId="39" w16cid:durableId="1870213904">
    <w:abstractNumId w:val="28"/>
  </w:num>
  <w:num w:numId="40" w16cid:durableId="1658336185">
    <w:abstractNumId w:val="42"/>
  </w:num>
  <w:num w:numId="41" w16cid:durableId="2108890334">
    <w:abstractNumId w:val="24"/>
  </w:num>
  <w:num w:numId="42" w16cid:durableId="140393748">
    <w:abstractNumId w:val="36"/>
  </w:num>
  <w:num w:numId="43" w16cid:durableId="2101103962">
    <w:abstractNumId w:val="29"/>
  </w:num>
  <w:num w:numId="44" w16cid:durableId="50233300">
    <w:abstractNumId w:val="20"/>
  </w:num>
  <w:num w:numId="45" w16cid:durableId="104748400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22784"/>
    <w:rsid w:val="00031093"/>
    <w:rsid w:val="00045657"/>
    <w:rsid w:val="000A6197"/>
    <w:rsid w:val="000F4C4D"/>
    <w:rsid w:val="00102FCB"/>
    <w:rsid w:val="001E1A57"/>
    <w:rsid w:val="00202087"/>
    <w:rsid w:val="00211B41"/>
    <w:rsid w:val="00220BEA"/>
    <w:rsid w:val="00224DD0"/>
    <w:rsid w:val="00232B7D"/>
    <w:rsid w:val="00243809"/>
    <w:rsid w:val="00255977"/>
    <w:rsid w:val="00276BB4"/>
    <w:rsid w:val="002954DE"/>
    <w:rsid w:val="002B47C1"/>
    <w:rsid w:val="002F2D33"/>
    <w:rsid w:val="002F3B47"/>
    <w:rsid w:val="0031559B"/>
    <w:rsid w:val="00326313"/>
    <w:rsid w:val="00326796"/>
    <w:rsid w:val="0035169A"/>
    <w:rsid w:val="00384292"/>
    <w:rsid w:val="003B4731"/>
    <w:rsid w:val="004275C1"/>
    <w:rsid w:val="00461258"/>
    <w:rsid w:val="00471C00"/>
    <w:rsid w:val="004C03C9"/>
    <w:rsid w:val="00522E60"/>
    <w:rsid w:val="005431E9"/>
    <w:rsid w:val="005455B4"/>
    <w:rsid w:val="00551833"/>
    <w:rsid w:val="005A6B35"/>
    <w:rsid w:val="005D35F7"/>
    <w:rsid w:val="005E7E0F"/>
    <w:rsid w:val="00663F13"/>
    <w:rsid w:val="00665201"/>
    <w:rsid w:val="006664F4"/>
    <w:rsid w:val="006721F4"/>
    <w:rsid w:val="00672958"/>
    <w:rsid w:val="00676946"/>
    <w:rsid w:val="006F552F"/>
    <w:rsid w:val="0071493A"/>
    <w:rsid w:val="007831C5"/>
    <w:rsid w:val="00785B38"/>
    <w:rsid w:val="00793D8C"/>
    <w:rsid w:val="007A065F"/>
    <w:rsid w:val="007E1B8B"/>
    <w:rsid w:val="00861820"/>
    <w:rsid w:val="008669DC"/>
    <w:rsid w:val="00913939"/>
    <w:rsid w:val="009401FC"/>
    <w:rsid w:val="009604FE"/>
    <w:rsid w:val="00980E70"/>
    <w:rsid w:val="00981A1B"/>
    <w:rsid w:val="009A7765"/>
    <w:rsid w:val="009E1194"/>
    <w:rsid w:val="009E3F37"/>
    <w:rsid w:val="00A227CF"/>
    <w:rsid w:val="00A3405C"/>
    <w:rsid w:val="00A82D3B"/>
    <w:rsid w:val="00AC36AA"/>
    <w:rsid w:val="00AE6A7D"/>
    <w:rsid w:val="00B74385"/>
    <w:rsid w:val="00BD3E95"/>
    <w:rsid w:val="00C8188E"/>
    <w:rsid w:val="00C87EF0"/>
    <w:rsid w:val="00CA1941"/>
    <w:rsid w:val="00D15DF5"/>
    <w:rsid w:val="00D65395"/>
    <w:rsid w:val="00D80CE5"/>
    <w:rsid w:val="00D961A1"/>
    <w:rsid w:val="00DA03B8"/>
    <w:rsid w:val="00DC5B82"/>
    <w:rsid w:val="00DE23B1"/>
    <w:rsid w:val="00DE7BF4"/>
    <w:rsid w:val="00E12C7D"/>
    <w:rsid w:val="00E1635A"/>
    <w:rsid w:val="00E77B0D"/>
    <w:rsid w:val="00EB3B29"/>
    <w:rsid w:val="00F00C56"/>
    <w:rsid w:val="00F07726"/>
    <w:rsid w:val="00F45BBA"/>
    <w:rsid w:val="00F51BC8"/>
    <w:rsid w:val="00F86CA0"/>
    <w:rsid w:val="00F95644"/>
    <w:rsid w:val="00FD5805"/>
    <w:rsid w:val="00FD5B93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471C00"/>
    <w:rPr>
      <w:b/>
      <w:bCs/>
    </w:rPr>
  </w:style>
  <w:style w:type="paragraph" w:styleId="Paragraphedeliste">
    <w:name w:val="List Paragraph"/>
    <w:basedOn w:val="Normal"/>
    <w:uiPriority w:val="34"/>
    <w:qFormat/>
    <w:rsid w:val="00326313"/>
    <w:pPr>
      <w:spacing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AB06-3884-49F2-813B-D5C7CBE0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8</cp:revision>
  <cp:lastPrinted>2023-06-02T06:55:00Z</cp:lastPrinted>
  <dcterms:created xsi:type="dcterms:W3CDTF">2023-04-19T13:27:00Z</dcterms:created>
  <dcterms:modified xsi:type="dcterms:W3CDTF">2024-04-09T07:53:00Z</dcterms:modified>
</cp:coreProperties>
</file>